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2-chronicles-13"/>
    <w:p>
      <w:pPr>
        <w:pStyle w:val="Heading1"/>
      </w:pPr>
      <w:r>
        <w:t xml:space="preserve">Homiletics Analysis: 2 Chronicles 13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Second Chronicles 13 narrates the brief reign of Abijah king of Judah and his military confrontation with Jeroboam king of Israel. What distinguishes this account from its parallel in 1 Kings 15 — which dismisses Abijah in three verses as a man who</w:t>
      </w:r>
      <w:r>
        <w:t xml:space="preserve"> </w:t>
      </w:r>
      <w:r>
        <w:t xml:space="preserve">“walked in all the sins of his father”</w:t>
      </w:r>
      <w:r>
        <w:t xml:space="preserve"> </w:t>
      </w:r>
      <w:r>
        <w:t xml:space="preserve">— is that the Chronicler expands the episode dramatically, centering the entire chapter on Abijah’s pre-battle speech from Mount Zemaraim and the miraculous Judahite victory that follows. The narrative is structured around a contrast: Jeroboam’s Israel, which abandoned the LORD and his ordained priesthood for golden calves and self-appointed priests, versus Judah, which maintained the Levitical priesthood, the Davidic covenant, and the proper worship of the God of their fathers. Abijah’s speech (vv. 4–12) is the theological heart of the chapter — a formal indictment of Israel’s apostasy, a claim that Judah holds the covenant with the LORD, and a warning that fighting against Judah is fighting against the LORD himself. Verses 13–20 recount the battle: Jeroboam sets an ambush, Judah is surrounded, the people cry to God and the priests blow the trumpets, and the LORD routs Jeroboam’s superior force. Israel loses five hundred thousand men. Jeroboam never recovers. The chapter closes with Abijah growing strong, marrying fourteen wives, and producing twenty-two sons and sixteen daughters.</w:t>
      </w:r>
    </w:p>
    <w:p>
      <w:pPr>
        <w:pStyle w:val="BodyText"/>
      </w:pPr>
      <w:r>
        <w:rPr>
          <w:b/>
          <w:bCs/>
        </w:rPr>
        <w:t xml:space="preserve">This Text — Intent</w:t>
      </w:r>
    </w:p>
    <w:p>
      <w:pPr>
        <w:pStyle w:val="BodyText"/>
      </w:pPr>
      <w:r>
        <w:t xml:space="preserve">The Chronicler is not primarily writing military history. He is writing covenantal theology for a post-exilic community that needs to know whether the LORD’s covenant with David and the Levitical priesthood still holds — whether the institutions that defined Israel’s worship before the exile still constitute the ground on which God’s people stand. Through this chapter, God is seeking to persuade his people that fidelity to his ordained institutions — the Davidic covenant, the Levitical priesthood, proper worship — constitutes genuine reliance on him, and that this reliance, not military superiority or political calculation, is the decisive factor in every contest. The chapter also functions as a verdict on the Northern Kingdom’s founding apostasy: Jeroboam’s calves, his counterfeit priesthood, and his rejection of the LORD’s covenant are not merely ecclesiastical errors but acts of war against God — and God will not be neutral in that contest. The intent is to call post-exilic Judah to covenant fidelity, priestly faithfulness, and trust that the God who routed five hundred thousand for Abijah’s Judah is still the God who fights for those who stand on the covenant ground he has established.</w:t>
      </w:r>
    </w:p>
    <w:p>
      <w:r>
        <w:pict>
          <v:rect style="width:0;height:1.5pt" o:hralign="center" o:hrstd="t" o:hr="t"/>
        </w:pict>
      </w:r>
    </w:p>
    <w:p>
      <w:pPr>
        <w:pStyle w:val="FirstParagraph"/>
      </w:pPr>
      <w:r>
        <w:rPr>
          <w:b/>
          <w:bCs/>
        </w:rPr>
        <w:t xml:space="preserve">Subject Sentence:</w:t>
      </w:r>
      <w:r>
        <w:t xml:space="preserve"> </w:t>
      </w:r>
      <w:r>
        <w:t xml:space="preserve">The LORD fights for the covenant community that maintains His ordained worship against those who abandon it.</w:t>
      </w:r>
    </w:p>
    <w:p>
      <w:r>
        <w:pict>
          <v:rect style="width:0;height:1.5pt" o:hralign="center" o:hrstd="t" o:hr="t"/>
        </w:pict>
      </w:r>
    </w:p>
    <w:p>
      <w:pPr>
        <w:pStyle w:val="FirstParagraph"/>
      </w:pPr>
      <w:r>
        <w:rPr>
          <w:b/>
          <w:bCs/>
        </w:rPr>
        <w:t xml:space="preserve">Primary Claim:</w:t>
      </w:r>
      <w:r>
        <w:t xml:space="preserve"> </w:t>
      </w:r>
      <w:r>
        <w:t xml:space="preserve">God is demonstrating through Abijah’s improbable victory that fidelity to His covenant institutions — not military strength — is the ground of His people’s confidence, and that those who fight against those institutions fight against Him.</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tension between Chronicles and Kings</w:t>
      </w:r>
    </w:p>
    <w:p>
      <w:pPr>
        <w:pStyle w:val="BodyText"/>
      </w:pPr>
      <w:r>
        <w:t xml:space="preserve">The most significant interpretive issue in this chapter is the stark difference between the Chronicler’s account and 1 Kings 15:1–8. Kings gives Abijah (called Abijam there) three verses and a negative verdict: he</w:t>
      </w:r>
      <w:r>
        <w:t xml:space="preserve"> </w:t>
      </w:r>
      <w:r>
        <w:t xml:space="preserve">“walked in all the sins of his father.”</w:t>
      </w:r>
      <w:r>
        <w:t xml:space="preserve"> </w:t>
      </w:r>
      <w:r>
        <w:t xml:space="preserve">Chronicles gives him an entire chapter and a theological triumph. Interpreters have responded to this tension in several ways.</w:t>
      </w:r>
    </w:p>
    <w:p>
      <w:pPr>
        <w:pStyle w:val="BodyText"/>
      </w:pPr>
      <w:r>
        <w:t xml:space="preserve">Some critical scholars treat the discrepancy as evidence that the Chronicler fabricated or heavily embellished a tradition that did not exist in Kings, making Abijah a vehicle for ideological purposes rather than historical record. This reading must be acknowledged as reflecting a genuine tension in the texts, but it misunderstands the Chronicler’s editorial method and purpose. The Chronicler consistently supplements, not contradicts, the Kings material by drawing on additional sources (cf. 2 Chr. 13:22, which explicitly references</w:t>
      </w:r>
      <w:r>
        <w:t xml:space="preserve"> </w:t>
      </w:r>
      <w:r>
        <w:t xml:space="preserve">“the story of the prophet Iddo”</w:t>
      </w:r>
      <w:r>
        <w:t xml:space="preserve">). Kings and Chronicles are written for different purposes to different audiences, selecting different events to make different theological arguments. The Chronicler is not correcting Kings; he is adding to it. The verdict in Kings on Abijah’s overall reign is not incompatible with the Chronicler’s account of a specific episode of covenant faithfulness — a man can act in covenant fidelity in battle while his overall reign is compromised. Scripture regularly shows this complexity (cf. David, Jehu, Amaziah).</w:t>
      </w:r>
    </w:p>
    <w:p>
      <w:pPr>
        <w:pStyle w:val="BodyText"/>
      </w:pPr>
      <w:r>
        <w:rPr>
          <w:b/>
          <w:bCs/>
        </w:rPr>
        <w:t xml:space="preserve">Abijah’s speech as theological warrant</w:t>
      </w:r>
    </w:p>
    <w:p>
      <w:pPr>
        <w:pStyle w:val="BodyText"/>
      </w:pPr>
      <w:r>
        <w:t xml:space="preserve">A second interpretive issue concerns how much theological weight to place on Abijah’s speech in verses 4–12. Some interpreters treat the speech as reliable covenant theology that the Chronicler endorses, while others argue that the Chronicler is using Abijah as a mouthpiece but that Abijah himself is an unreliable narrator. The text itself validates the speech through the outcome: God acts exactly as Abijah predicts, vindicating the theological claims Abijah makes. This is the Chronicler’s standard pattern — the theology of a speech is validated or invalidated by the narrative outcome that follows it. Here, the outcome validates. The Reformed reading accepts Abijah’s speech as genuine covenant theology endorsed by the narrative’s structure and the Chronicler’s evident purpose.</w:t>
      </w:r>
    </w:p>
    <w:p>
      <w:pPr>
        <w:pStyle w:val="BodyText"/>
      </w:pPr>
      <w:r>
        <w:rPr>
          <w:b/>
          <w:bCs/>
        </w:rPr>
        <w:t xml:space="preserve">The</w:t>
      </w:r>
      <w:r>
        <w:rPr>
          <w:b/>
          <w:bCs/>
        </w:rPr>
        <w:t xml:space="preserve"> </w:t>
      </w:r>
      <w:r>
        <w:rPr>
          <w:b/>
          <w:bCs/>
        </w:rPr>
        <w:t xml:space="preserve">“salt covenant”</w:t>
      </w:r>
      <w:r>
        <w:rPr>
          <w:b/>
          <w:bCs/>
        </w:rPr>
        <w:t xml:space="preserve"> </w:t>
      </w:r>
      <w:r>
        <w:rPr>
          <w:b/>
          <w:bCs/>
        </w:rPr>
        <w:t xml:space="preserve">language (v. 5)</w:t>
      </w:r>
    </w:p>
    <w:p>
      <w:pPr>
        <w:pStyle w:val="BodyText"/>
      </w:pPr>
      <w:r>
        <w:t xml:space="preserve">Verse 5 contains the only use of</w:t>
      </w:r>
      <w:r>
        <w:t xml:space="preserve"> </w:t>
      </w:r>
      <w:r>
        <w:t xml:space="preserve">“covenant of salt”</w:t>
      </w:r>
      <w:r>
        <w:t xml:space="preserve"> </w:t>
      </w:r>
      <w:r>
        <w:t xml:space="preserve">(</w:t>
      </w:r>
      <w:r>
        <w:rPr>
          <w:i/>
          <w:iCs/>
        </w:rPr>
        <w:t xml:space="preserve">brit melach</w:t>
      </w:r>
      <w:r>
        <w:t xml:space="preserve">) in reference to the Davidic covenant. Some interpreters have over-read this as a unique covenantal category; others have under-read it as merely conventional ancient Near Eastern idiom. The phrase signifies permanence and inviolability — salt was a preservative, and salt covenants (cf. Num. 18:19; Lev. 2:13) were enduring, binding, unbreakable. The Reformed reading takes this as intensified covenant language underscoring the unconditional character of the Davidic promise, which cannot be nullified by Jeroboam’s rebellion or Rehoboam’s failure. This is the theological ground of Abijah’s confidence and the theological ground of the post-exilic community’s hope.</w:t>
      </w:r>
    </w:p>
    <w:p>
      <w:pPr>
        <w:pStyle w:val="BodyText"/>
      </w:pPr>
      <w:r>
        <w:rPr>
          <w:b/>
          <w:bCs/>
        </w:rPr>
        <w:t xml:space="preserve">Does this passage teach that Judah was righteous and Israel apostate?</w:t>
      </w:r>
    </w:p>
    <w:p>
      <w:pPr>
        <w:pStyle w:val="BodyText"/>
      </w:pPr>
      <w:r>
        <w:t xml:space="preserve">Some interpreters, particularly in dispensational frameworks, read the Israel/Judah contrast as a judgment on ethnic or political lines that will eventually be reversed in the millennial restoration of the twelve tribes. This partially holds but overreaches in the wrong direction for the Chronicler’s purpose. The contrast here is not ethnic or political — it is covenantal and cultic. Judah’s claim is not racial superiority but covenant fidelity: the priesthood, the worship, the ordained institutions. Jeroboam’s error is not being</w:t>
      </w:r>
      <w:r>
        <w:t xml:space="preserve"> </w:t>
      </w:r>
      <w:r>
        <w:t xml:space="preserve">“northern”</w:t>
      </w:r>
      <w:r>
        <w:t xml:space="preserve"> </w:t>
      </w:r>
      <w:r>
        <w:t xml:space="preserve">but substituting his own religious inventions for God’s prescribed worship. The Reformed reading sees this as directly applicable to the church: the question is never which nation wins but whether the community is standing on God’s covenant ground and trusting God’s appointed means of grace.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Numbers 18:19</w:t>
      </w:r>
      <w:r>
        <w:t xml:space="preserve"> </w:t>
      </w:r>
      <w:r>
        <w:t xml:space="preserve">—</w:t>
      </w:r>
      <w:r>
        <w:t xml:space="preserve"> </w:t>
      </w:r>
      <w:r>
        <w:t xml:space="preserve">“a covenant of salt forever before the LORD”</w:t>
      </w:r>
      <w:r>
        <w:t xml:space="preserve"> </w:t>
      </w:r>
      <w:r>
        <w:t xml:space="preserve">— provides the only close parallel to the</w:t>
      </w:r>
      <w:r>
        <w:t xml:space="preserve"> </w:t>
      </w:r>
      <w:r>
        <w:t xml:space="preserve">“covenant of salt”</w:t>
      </w:r>
      <w:r>
        <w:t xml:space="preserve"> </w:t>
      </w:r>
      <w:r>
        <w:t xml:space="preserve">language in verse 5, grounding the Davidic covenant in the permanent covenant framework of the Levitical priesthood and establishing the inviolability of both.</w:t>
      </w:r>
    </w:p>
    <w:p>
      <w:pPr>
        <w:numPr>
          <w:ilvl w:val="0"/>
          <w:numId w:val="1001"/>
        </w:numPr>
      </w:pPr>
      <w:r>
        <w:rPr>
          <w:b/>
          <w:bCs/>
        </w:rPr>
        <w:t xml:space="preserve">2 Samuel 7:12–16</w:t>
      </w:r>
      <w:r>
        <w:t xml:space="preserve"> </w:t>
      </w:r>
      <w:r>
        <w:t xml:space="preserve">— The Davidic covenant itself: the LORD’s unconditional promise that the throne of David’s house will be established forever — the</w:t>
      </w:r>
      <w:r>
        <w:t xml:space="preserve"> </w:t>
      </w:r>
      <w:r>
        <w:t xml:space="preserve">“salt covenant”</w:t>
      </w:r>
      <w:r>
        <w:t xml:space="preserve"> </w:t>
      </w:r>
      <w:r>
        <w:t xml:space="preserve">Abijah invokes and the theological ground on which his entire speech rests.</w:t>
      </w:r>
    </w:p>
    <w:p>
      <w:pPr>
        <w:numPr>
          <w:ilvl w:val="0"/>
          <w:numId w:val="1001"/>
        </w:numPr>
      </w:pPr>
      <w:r>
        <w:rPr>
          <w:b/>
          <w:bCs/>
        </w:rPr>
        <w:t xml:space="preserve">1 Kings 12:26–33</w:t>
      </w:r>
      <w:r>
        <w:t xml:space="preserve"> </w:t>
      </w:r>
      <w:r>
        <w:t xml:space="preserve">— Jeroboam’s institution of the golden calves, the non-Levitical priesthood, and the alternative worship sites at Bethel and Dan — the apostasy that Abijah’s speech indicts, providing the direct backstory for the theological conflict of 2 Chronicles 13.</w:t>
      </w:r>
    </w:p>
    <w:p>
      <w:pPr>
        <w:numPr>
          <w:ilvl w:val="0"/>
          <w:numId w:val="1001"/>
        </w:numPr>
      </w:pPr>
      <w:r>
        <w:rPr>
          <w:b/>
          <w:bCs/>
        </w:rPr>
        <w:t xml:space="preserve">Deuteronomy 20:1–4</w:t>
      </w:r>
      <w:r>
        <w:t xml:space="preserve"> </w:t>
      </w:r>
      <w:r>
        <w:t xml:space="preserve">—</w:t>
      </w:r>
      <w:r>
        <w:t xml:space="preserve"> </w:t>
      </w:r>
      <w:r>
        <w:t xml:space="preserve">“Do not be afraid of them, for the LORD your God is with you”</w:t>
      </w:r>
      <w:r>
        <w:t xml:space="preserve"> </w:t>
      </w:r>
      <w:r>
        <w:t xml:space="preserve">— the covenant war theology underlying the battle account: God fights for Israel when they stand in covenant fidelity and cry to him in dependence, not when they trust in numerical superiority.</w:t>
      </w:r>
    </w:p>
    <w:p>
      <w:pPr>
        <w:numPr>
          <w:ilvl w:val="0"/>
          <w:numId w:val="1001"/>
        </w:numPr>
      </w:pPr>
      <w:r>
        <w:rPr>
          <w:b/>
          <w:bCs/>
        </w:rPr>
        <w:t xml:space="preserve">2 Chronicles 14:11; 20:15</w:t>
      </w:r>
      <w:r>
        <w:t xml:space="preserve"> </w:t>
      </w:r>
      <w:r>
        <w:t xml:space="preserve">— Asa’s prayer (</w:t>
      </w:r>
      <w:r>
        <w:t xml:space="preserve">“LORD, it is nothing for you to help, whether with many or with those who have no power”</w:t>
      </w:r>
      <w:r>
        <w:t xml:space="preserve">) and Jehoshaphat’s battle (</w:t>
      </w:r>
      <w:r>
        <w:t xml:space="preserve">“the battle is not yours, but God’s”</w:t>
      </w:r>
      <w:r>
        <w:t xml:space="preserve">) — the Chronicler’s recurring theological pattern of which 2 Chronicles 13 is the inaugural and defining example: dependence and covenant fidelity, not military strength, is the decisive factor.</w:t>
      </w:r>
    </w:p>
    <w:p>
      <w:r>
        <w:pict>
          <v:rect style="width:0;height:1.5pt" o:hralign="center" o:hrstd="t" o:hr="t"/>
        </w:pict>
      </w:r>
    </w:p>
    <w:p>
      <w:pPr>
        <w:pStyle w:val="FirstParagraph"/>
      </w:pPr>
      <w:r>
        <w:rPr>
          <w:b/>
          <w:bCs/>
        </w:rPr>
        <w:t xml:space="preserve">Aim:</w:t>
      </w:r>
      <w:r>
        <w:t xml:space="preserve"> </w:t>
      </w:r>
      <w:r>
        <w:t xml:space="preserve">To demonstrate from the Chronicler’s account of Abijah’s victory that God’s people are called to stand on God’s covenant ground in dependence on Him — and that this posture, not strength or numbers, is the decisive factor in every spiritual contest they face.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1–2a</w:t>
            </w:r>
          </w:p>
        </w:tc>
        <w:tc>
          <w:tcPr/>
          <w:p>
            <w:pPr>
              <w:pStyle w:val="Compact"/>
            </w:pPr>
            <w:r>
              <w:t xml:space="preserve">Abijah begins to reign over Judah in Jeroboam’s 18th year; his mother is Micaiah daughter of Uriel of Gibeah</w:t>
            </w:r>
          </w:p>
        </w:tc>
        <w:tc>
          <w:tcPr/>
          <w:p>
            <w:pPr>
              <w:pStyle w:val="Compact"/>
            </w:pPr>
            <w:r>
              <w:t xml:space="preserve">Brief regnal formula; contrast with Jeroboam’s length of reign already underway</w:t>
            </w:r>
          </w:p>
        </w:tc>
      </w:tr>
      <w:tr>
        <w:tc>
          <w:tcPr/>
          <w:p>
            <w:pPr>
              <w:pStyle w:val="Compact"/>
            </w:pPr>
            <w:r>
              <w:t xml:space="preserve">2b</w:t>
            </w:r>
          </w:p>
        </w:tc>
        <w:tc>
          <w:tcPr/>
          <w:p>
            <w:pPr>
              <w:pStyle w:val="Compact"/>
            </w:pPr>
            <w:r>
              <w:t xml:space="preserve">War breaks out between Abijah and Jeroboam</w:t>
            </w:r>
          </w:p>
        </w:tc>
        <w:tc>
          <w:tcPr/>
          <w:p>
            <w:pPr>
              <w:pStyle w:val="Compact"/>
            </w:pPr>
            <w:r>
              <w:t xml:space="preserve">Sets the military conflict that frames the entire chapter</w:t>
            </w:r>
          </w:p>
        </w:tc>
      </w:tr>
      <w:tr>
        <w:tc>
          <w:tcPr/>
          <w:p>
            <w:pPr>
              <w:pStyle w:val="Compact"/>
            </w:pPr>
            <w:r>
              <w:t xml:space="preserve">3</w:t>
            </w:r>
          </w:p>
        </w:tc>
        <w:tc>
          <w:tcPr/>
          <w:p>
            <w:pPr>
              <w:pStyle w:val="Compact"/>
            </w:pPr>
            <w:r>
              <w:t xml:space="preserve">Abijah musters 400,000 warriors; Jeroboam deploys 800,000 — a two-to-one disadvantage for Judah</w:t>
            </w:r>
          </w:p>
        </w:tc>
        <w:tc>
          <w:tcPr/>
          <w:p>
            <w:pPr>
              <w:pStyle w:val="Compact"/>
            </w:pPr>
            <w:r>
              <w:t xml:space="preserve">The numerical disadvantage is the setup for the theological reversal; numbers are not the decisive factor</w:t>
            </w:r>
          </w:p>
        </w:tc>
      </w:tr>
      <w:tr>
        <w:tc>
          <w:tcPr/>
          <w:p>
            <w:pPr>
              <w:pStyle w:val="Compact"/>
            </w:pPr>
            <w:r>
              <w:t xml:space="preserve">4</w:t>
            </w:r>
          </w:p>
        </w:tc>
        <w:tc>
          <w:tcPr/>
          <w:p>
            <w:pPr>
              <w:pStyle w:val="Compact"/>
            </w:pPr>
            <w:r>
              <w:t xml:space="preserve">Abijah stands on Mount Zemaraim and calls out to Jeroboam and all Israel</w:t>
            </w:r>
          </w:p>
        </w:tc>
        <w:tc>
          <w:tcPr/>
          <w:p>
            <w:pPr>
              <w:pStyle w:val="Compact"/>
            </w:pPr>
            <w:r>
              <w:t xml:space="preserve">Pre-battle speech from an elevated position — a formal, public, covenantal declaration</w:t>
            </w:r>
          </w:p>
        </w:tc>
      </w:tr>
      <w:tr>
        <w:tc>
          <w:tcPr/>
          <w:p>
            <w:pPr>
              <w:pStyle w:val="Compact"/>
            </w:pPr>
            <w:r>
              <w:t xml:space="preserve">5</w:t>
            </w:r>
          </w:p>
        </w:tc>
        <w:tc>
          <w:tcPr/>
          <w:p>
            <w:pPr>
              <w:pStyle w:val="Compact"/>
            </w:pPr>
            <w:r>
              <w:t xml:space="preserve">“Does not the LORD God of Israel give the kingship over Israel forever to David and his sons by a covenant of salt?”</w:t>
            </w:r>
          </w:p>
        </w:tc>
        <w:tc>
          <w:tcPr/>
          <w:p>
            <w:pPr>
              <w:pStyle w:val="Compact"/>
            </w:pPr>
            <w:r>
              <w:t xml:space="preserve">Invokes the Davidic covenant as the ground of Judah’s legitimate claim;</w:t>
            </w:r>
            <w:r>
              <w:t xml:space="preserve"> </w:t>
            </w:r>
            <w:r>
              <w:t xml:space="preserve">“salt covenant”</w:t>
            </w:r>
            <w:r>
              <w:t xml:space="preserve"> </w:t>
            </w:r>
            <w:r>
              <w:t xml:space="preserve">= inviolable, permanent</w:t>
            </w:r>
          </w:p>
        </w:tc>
      </w:tr>
      <w:tr>
        <w:tc>
          <w:tcPr/>
          <w:p>
            <w:pPr>
              <w:pStyle w:val="Compact"/>
            </w:pPr>
            <w:r>
              <w:t xml:space="preserve">6–7</w:t>
            </w:r>
          </w:p>
        </w:tc>
        <w:tc>
          <w:tcPr/>
          <w:p>
            <w:pPr>
              <w:pStyle w:val="Compact"/>
            </w:pPr>
            <w:r>
              <w:t xml:space="preserve">Jeroboam, servant of Solomon, rose up and rebelled; worthless men gathered to him and strengthened him when Rehoboam was young and irresolute</w:t>
            </w:r>
          </w:p>
        </w:tc>
        <w:tc>
          <w:tcPr/>
          <w:p>
            <w:pPr>
              <w:pStyle w:val="Compact"/>
            </w:pPr>
            <w:r>
              <w:t xml:space="preserve">Jeroboam’s rebellion framed as opportunistic exploitation of weakness, not a legitimate counter-covenant</w:t>
            </w:r>
          </w:p>
        </w:tc>
      </w:tr>
      <w:tr>
        <w:tc>
          <w:tcPr/>
          <w:p>
            <w:pPr>
              <w:pStyle w:val="Compact"/>
            </w:pPr>
            <w:r>
              <w:t xml:space="preserve">8a</w:t>
            </w:r>
          </w:p>
        </w:tc>
        <w:tc>
          <w:tcPr/>
          <w:p>
            <w:pPr>
              <w:pStyle w:val="Compact"/>
            </w:pPr>
            <w:r>
              <w:t xml:space="preserve">“And now you think to withstand the kingdom of the LORD in the hand of the sons of David”</w:t>
            </w:r>
          </w:p>
        </w:tc>
        <w:tc>
          <w:tcPr/>
          <w:p>
            <w:pPr>
              <w:pStyle w:val="Compact"/>
            </w:pPr>
            <w:r>
              <w:t xml:space="preserve">The theological verdict: fighting Judah = fighting the LORD’s covenant kingdom</w:t>
            </w:r>
          </w:p>
        </w:tc>
      </w:tr>
      <w:tr>
        <w:tc>
          <w:tcPr/>
          <w:p>
            <w:pPr>
              <w:pStyle w:val="Compact"/>
            </w:pPr>
            <w:r>
              <w:t xml:space="preserve">8b–9</w:t>
            </w:r>
          </w:p>
        </w:tc>
        <w:tc>
          <w:tcPr/>
          <w:p>
            <w:pPr>
              <w:pStyle w:val="Compact"/>
            </w:pPr>
            <w:r>
              <w:t xml:space="preserve">You have the golden calves; you have driven out the LORD’s priests the sons of Aaron and Levites; you have made priests for yourselves like the peoples of other lands</w:t>
            </w:r>
          </w:p>
        </w:tc>
        <w:tc>
          <w:tcPr/>
          <w:p>
            <w:pPr>
              <w:pStyle w:val="Compact"/>
            </w:pPr>
            <w:r>
              <w:t xml:space="preserve">Three-count indictment: false objects of worship, illegitimate priesthood, syncretistic religious practice</w:t>
            </w:r>
          </w:p>
        </w:tc>
      </w:tr>
      <w:tr>
        <w:tc>
          <w:tcPr/>
          <w:p>
            <w:pPr>
              <w:pStyle w:val="Compact"/>
            </w:pPr>
            <w:r>
              <w:t xml:space="preserve">10–11</w:t>
            </w:r>
          </w:p>
        </w:tc>
        <w:tc>
          <w:tcPr/>
          <w:p>
            <w:pPr>
              <w:pStyle w:val="Compact"/>
            </w:pPr>
            <w:r>
              <w:t xml:space="preserve">“But as for us, the LORD is our God, and we have not forsaken him. We have priests ministering to the LORD who are sons of Aaron, and Levites for their service…”</w:t>
            </w:r>
          </w:p>
        </w:tc>
        <w:tc>
          <w:tcPr/>
          <w:p>
            <w:pPr>
              <w:pStyle w:val="Compact"/>
            </w:pPr>
            <w:r>
              <w:t xml:space="preserve">Positive counterpoint: the ordained priesthood functioning as prescribed — morning and evening sacrifices, showbread, lamp, incense</w:t>
            </w:r>
          </w:p>
        </w:tc>
      </w:tr>
      <w:tr>
        <w:tc>
          <w:tcPr/>
          <w:p>
            <w:pPr>
              <w:pStyle w:val="Compact"/>
            </w:pPr>
            <w:r>
              <w:t xml:space="preserve">12</w:t>
            </w:r>
          </w:p>
        </w:tc>
        <w:tc>
          <w:tcPr/>
          <w:p>
            <w:pPr>
              <w:pStyle w:val="Compact"/>
            </w:pPr>
            <w:r>
              <w:t xml:space="preserve">“God is with us at our head, and his priests with their battle trumpets to sound the call to battle against you. O sons of Israel, do not fight against the LORD God of your fathers, for you will not succeed.”</w:t>
            </w:r>
          </w:p>
        </w:tc>
        <w:tc>
          <w:tcPr/>
          <w:p>
            <w:pPr>
              <w:pStyle w:val="Compact"/>
            </w:pPr>
            <w:r>
              <w:t xml:space="preserve">The theological summary: God at the head of Judah’s army; the warning is an appeal, not merely a threat</w:t>
            </w:r>
          </w:p>
        </w:tc>
      </w:tr>
      <w:tr>
        <w:tc>
          <w:tcPr/>
          <w:p>
            <w:pPr>
              <w:pStyle w:val="Compact"/>
            </w:pPr>
            <w:r>
              <w:t xml:space="preserve">13</w:t>
            </w:r>
          </w:p>
        </w:tc>
        <w:tc>
          <w:tcPr/>
          <w:p>
            <w:pPr>
              <w:pStyle w:val="Compact"/>
            </w:pPr>
            <w:r>
              <w:t xml:space="preserve">Jeroboam sends an ambush behind Judah while engaging them from the front</w:t>
            </w:r>
          </w:p>
        </w:tc>
        <w:tc>
          <w:tcPr/>
          <w:p>
            <w:pPr>
              <w:pStyle w:val="Compact"/>
            </w:pPr>
            <w:r>
              <w:t xml:space="preserve">The military situation becomes critical — Judah is surrounded</w:t>
            </w:r>
          </w:p>
        </w:tc>
      </w:tr>
      <w:tr>
        <w:tc>
          <w:tcPr/>
          <w:p>
            <w:pPr>
              <w:pStyle w:val="Compact"/>
            </w:pPr>
            <w:r>
              <w:t xml:space="preserve">14</w:t>
            </w:r>
          </w:p>
        </w:tc>
        <w:tc>
          <w:tcPr/>
          <w:p>
            <w:pPr>
              <w:pStyle w:val="Compact"/>
            </w:pPr>
            <w:r>
              <w:t xml:space="preserve">Judah looks and sees the battle is front and rear; they cry to the LORD and the priests blow the trumpets</w:t>
            </w:r>
          </w:p>
        </w:tc>
        <w:tc>
          <w:tcPr/>
          <w:p>
            <w:pPr>
              <w:pStyle w:val="Compact"/>
            </w:pPr>
            <w:r>
              <w:t xml:space="preserve">The covenant response: not military maneuver but dependence on God and liturgical petition</w:t>
            </w:r>
          </w:p>
        </w:tc>
      </w:tr>
      <w:tr>
        <w:tc>
          <w:tcPr/>
          <w:p>
            <w:pPr>
              <w:pStyle w:val="Compact"/>
            </w:pPr>
            <w:r>
              <w:t xml:space="preserve">15a</w:t>
            </w:r>
          </w:p>
        </w:tc>
        <w:tc>
          <w:tcPr/>
          <w:p>
            <w:pPr>
              <w:pStyle w:val="Compact"/>
            </w:pPr>
            <w:r>
              <w:t xml:space="preserve">The men of Judah raised the battle shout</w:t>
            </w:r>
          </w:p>
        </w:tc>
        <w:tc>
          <w:tcPr/>
          <w:p>
            <w:pPr>
              <w:pStyle w:val="Compact"/>
            </w:pPr>
            <w:r>
              <w:t xml:space="preserve">The shout is both a battle cry and an act of faith — cf. Joshua 6</w:t>
            </w:r>
          </w:p>
        </w:tc>
      </w:tr>
      <w:tr>
        <w:tc>
          <w:tcPr/>
          <w:p>
            <w:pPr>
              <w:pStyle w:val="Compact"/>
            </w:pPr>
            <w:r>
              <w:t xml:space="preserve">15b</w:t>
            </w:r>
          </w:p>
        </w:tc>
        <w:tc>
          <w:tcPr/>
          <w:p>
            <w:pPr>
              <w:pStyle w:val="Compact"/>
            </w:pPr>
            <w:r>
              <w:t xml:space="preserve">God struck Jeroboam and all Israel before Abijah and Judah</w:t>
            </w:r>
          </w:p>
        </w:tc>
        <w:tc>
          <w:tcPr/>
          <w:p>
            <w:pPr>
              <w:pStyle w:val="Compact"/>
            </w:pPr>
            <w:r>
              <w:t xml:space="preserve">The divine actor is named; God is the one who strikes, not Judah’s military competence</w:t>
            </w:r>
          </w:p>
        </w:tc>
      </w:tr>
      <w:tr>
        <w:tc>
          <w:tcPr/>
          <w:p>
            <w:pPr>
              <w:pStyle w:val="Compact"/>
            </w:pPr>
            <w:r>
              <w:t xml:space="preserve">16</w:t>
            </w:r>
          </w:p>
        </w:tc>
        <w:tc>
          <w:tcPr/>
          <w:p>
            <w:pPr>
              <w:pStyle w:val="Compact"/>
            </w:pPr>
            <w:r>
              <w:t xml:space="preserve">Israel fled before Judah; God gave them into their hands</w:t>
            </w:r>
          </w:p>
        </w:tc>
        <w:tc>
          <w:tcPr/>
          <w:p>
            <w:pPr>
              <w:pStyle w:val="Compact"/>
            </w:pPr>
            <w:r>
              <w:t xml:space="preserve">Rout confirmed; the passive</w:t>
            </w:r>
            <w:r>
              <w:t xml:space="preserve"> </w:t>
            </w:r>
            <w:r>
              <w:t xml:space="preserve">“gave them”</w:t>
            </w:r>
            <w:r>
              <w:t xml:space="preserve"> </w:t>
            </w:r>
            <w:r>
              <w:t xml:space="preserve">emphasizes God’s action</w:t>
            </w:r>
          </w:p>
        </w:tc>
      </w:tr>
      <w:tr>
        <w:tc>
          <w:tcPr/>
          <w:p>
            <w:pPr>
              <w:pStyle w:val="Compact"/>
            </w:pPr>
            <w:r>
              <w:t xml:space="preserve">17–18</w:t>
            </w:r>
          </w:p>
        </w:tc>
        <w:tc>
          <w:tcPr/>
          <w:p>
            <w:pPr>
              <w:pStyle w:val="Compact"/>
            </w:pPr>
            <w:r>
              <w:t xml:space="preserve">Abijah and his people struck Israel with a great blow — 500,000 chosen men of Israel fell; Israel was subdued; Judah prevailed because they relied on the LORD God of their fathers</w:t>
            </w:r>
          </w:p>
        </w:tc>
        <w:tc>
          <w:tcPr/>
          <w:p>
            <w:pPr>
              <w:pStyle w:val="Compact"/>
            </w:pPr>
            <w:r>
              <w:t xml:space="preserve">The Chronicler’s explicit theological verdict:</w:t>
            </w:r>
            <w:r>
              <w:t xml:space="preserve"> </w:t>
            </w:r>
            <w:r>
              <w:t xml:space="preserve">“because they relied on the LORD”</w:t>
            </w:r>
            <w:r>
              <w:t xml:space="preserve"> </w:t>
            </w:r>
            <w:r>
              <w:t xml:space="preserve">— this is the interpretive key to the entire account</w:t>
            </w:r>
          </w:p>
        </w:tc>
      </w:tr>
      <w:tr>
        <w:tc>
          <w:tcPr/>
          <w:p>
            <w:pPr>
              <w:pStyle w:val="Compact"/>
            </w:pPr>
            <w:r>
              <w:t xml:space="preserve">19</w:t>
            </w:r>
          </w:p>
        </w:tc>
        <w:tc>
          <w:tcPr/>
          <w:p>
            <w:pPr>
              <w:pStyle w:val="Compact"/>
            </w:pPr>
            <w:r>
              <w:t xml:space="preserve">Abijah pursued Jeroboam and took cities from him: Bethel, Jeshanah, Ephron with their villages</w:t>
            </w:r>
          </w:p>
        </w:tc>
        <w:tc>
          <w:tcPr/>
          <w:p>
            <w:pPr>
              <w:pStyle w:val="Compact"/>
            </w:pPr>
            <w:r>
              <w:t xml:space="preserve">Territorial consequence; Bethel — the site of one of Jeroboam’s golden calves — is captured</w:t>
            </w:r>
          </w:p>
        </w:tc>
      </w:tr>
      <w:tr>
        <w:tc>
          <w:tcPr/>
          <w:p>
            <w:pPr>
              <w:pStyle w:val="Compact"/>
            </w:pPr>
            <w:r>
              <w:t xml:space="preserve">20</w:t>
            </w:r>
          </w:p>
        </w:tc>
        <w:tc>
          <w:tcPr/>
          <w:p>
            <w:pPr>
              <w:pStyle w:val="Compact"/>
            </w:pPr>
            <w:r>
              <w:t xml:space="preserve">Jeroboam did not recover his power in the days of Abijah; the LORD struck him down and he died</w:t>
            </w:r>
          </w:p>
        </w:tc>
        <w:tc>
          <w:tcPr/>
          <w:p>
            <w:pPr>
              <w:pStyle w:val="Compact"/>
            </w:pPr>
            <w:r>
              <w:t xml:space="preserve">God’s direct action against Jeroboam continues beyond the battle; the verdict is permanent</w:t>
            </w:r>
          </w:p>
        </w:tc>
      </w:tr>
      <w:tr>
        <w:tc>
          <w:tcPr/>
          <w:p>
            <w:pPr>
              <w:pStyle w:val="Compact"/>
            </w:pPr>
            <w:r>
              <w:t xml:space="preserve">21–22</w:t>
            </w:r>
          </w:p>
        </w:tc>
        <w:tc>
          <w:tcPr/>
          <w:p>
            <w:pPr>
              <w:pStyle w:val="Compact"/>
            </w:pPr>
            <w:r>
              <w:t xml:space="preserve">Abijah grew mighty; fourteen wives, twenty-two sons, sixteen daughters; the rest of his acts in the story of the prophet Iddo</w:t>
            </w:r>
          </w:p>
        </w:tc>
        <w:tc>
          <w:tcPr/>
          <w:p>
            <w:pPr>
              <w:pStyle w:val="Compact"/>
            </w:pPr>
            <w:r>
              <w:t xml:space="preserve">Conventional prospered-reign summary; reference to Iddo as additional source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The Setup: Two Armies, Unequal Numbers</w:t>
            </w:r>
          </w:p>
        </w:tc>
      </w:tr>
      <w:tr>
        <w:tc>
          <w:tcPr/>
          <w:p>
            <w:pPr>
              <w:pStyle w:val="Compact"/>
            </w:pPr>
            <w:r>
              <w:t xml:space="preserve">2</w:t>
            </w:r>
          </w:p>
        </w:tc>
        <w:tc>
          <w:tcPr/>
          <w:p>
            <w:pPr>
              <w:pStyle w:val="Compact"/>
            </w:pPr>
            <w:r>
              <w:t xml:space="preserve">4–12</w:t>
            </w:r>
          </w:p>
        </w:tc>
        <w:tc>
          <w:tcPr/>
          <w:p>
            <w:pPr>
              <w:pStyle w:val="Compact"/>
            </w:pPr>
            <w:r>
              <w:t xml:space="preserve">Abijah’s Speech: Covenant Ground and Covenantal Indictment</w:t>
            </w:r>
          </w:p>
        </w:tc>
      </w:tr>
      <w:tr>
        <w:tc>
          <w:tcPr/>
          <w:p>
            <w:pPr>
              <w:pStyle w:val="Compact"/>
            </w:pPr>
            <w:r>
              <w:t xml:space="preserve">3</w:t>
            </w:r>
          </w:p>
        </w:tc>
        <w:tc>
          <w:tcPr/>
          <w:p>
            <w:pPr>
              <w:pStyle w:val="Compact"/>
            </w:pPr>
            <w:r>
              <w:t xml:space="preserve">13–18</w:t>
            </w:r>
          </w:p>
        </w:tc>
        <w:tc>
          <w:tcPr/>
          <w:p>
            <w:pPr>
              <w:pStyle w:val="Compact"/>
            </w:pPr>
            <w:r>
              <w:t xml:space="preserve">The Battle: Surrounded, Crying Out, and Routed by God</w:t>
            </w:r>
          </w:p>
        </w:tc>
      </w:tr>
      <w:tr>
        <w:tc>
          <w:tcPr/>
          <w:p>
            <w:pPr>
              <w:pStyle w:val="Compact"/>
            </w:pPr>
            <w:r>
              <w:t xml:space="preserve">4</w:t>
            </w:r>
          </w:p>
        </w:tc>
        <w:tc>
          <w:tcPr/>
          <w:p>
            <w:pPr>
              <w:pStyle w:val="Compact"/>
            </w:pPr>
            <w:r>
              <w:t xml:space="preserve">19–22</w:t>
            </w:r>
          </w:p>
        </w:tc>
        <w:tc>
          <w:tcPr/>
          <w:p>
            <w:pPr>
              <w:pStyle w:val="Compact"/>
            </w:pPr>
            <w:r>
              <w:t xml:space="preserve">The Aftermath: Jeroboam’s Permanent Collapse and Abijah’s Prosperity</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fights for the covenant community that maintains His ordained worship against those who abandon it.</w:t>
      </w:r>
    </w:p>
    <w:p>
      <w:pPr>
        <w:pStyle w:val="BodyText"/>
      </w:pPr>
      <w:r>
        <w:rPr>
          <w:b/>
          <w:bCs/>
        </w:rPr>
        <w:t xml:space="preserve">Primary Claim:</w:t>
      </w:r>
      <w:r>
        <w:t xml:space="preserve"> </w:t>
      </w:r>
      <w:r>
        <w:t xml:space="preserve">God is demonstrating through Abijah’s improbable victory that fidelity to His covenant institutions — not military strength — is the ground of His people’s confidence, and that those who fight against those institutions fight against Him.</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The ground of your confidence is the covenant, not your competence.</w:t>
      </w:r>
      <w:r>
        <w:t xml:space="preserve"> </w:t>
      </w:r>
      <w:r>
        <w:t xml:space="preserve">Judah went into battle outnumbered two to one. Their confidence was not in their 400,000 warriors — it was in the covenant of salt, the permanent, inviolable promise of God. Every believer faces circumstances where the numbers are wrong, the resources are insufficient, and the opposition appears overwhelming. The application of this passage is not generic encouragement to</w:t>
      </w:r>
      <w:r>
        <w:t xml:space="preserve"> </w:t>
      </w:r>
      <w:r>
        <w:t xml:space="preserve">“trust God”</w:t>
      </w:r>
      <w:r>
        <w:t xml:space="preserve"> </w:t>
      </w:r>
      <w:r>
        <w:t xml:space="preserve">— it is a specific call to locate your confidence in the right place: in the permanent, unbreakable covenant God has made with his people in Christ, not in your competence, your preparation, or your numerical advantage. Where you are placing your confidence right now is either in the covenant or in your own calculation — and those are not the same thing.</w:t>
      </w:r>
    </w:p>
    <w:p>
      <w:pPr>
        <w:pStyle w:val="BodyText"/>
      </w:pPr>
      <w:r>
        <w:rPr>
          <w:b/>
          <w:bCs/>
        </w:rPr>
        <w:t xml:space="preserve">2. Take inventory of what has been substituted for God’s ordained means of grace in your life.</w:t>
      </w:r>
      <w:r>
        <w:t xml:space="preserve"> </w:t>
      </w:r>
      <w:r>
        <w:t xml:space="preserve">Jeroboam’s sin was not irreligion — it was substitute religion. He built altars, appointed priests, and held festivals. The problem was that none of it was what God prescribed. The passage calls us to soberly examine whether we have gradually substituted our preferred forms of spiritual experience, our curated self-directed devotion, or our comfortable religious routines for the actual means of grace God has ordained — the Word, prayer, the sacraments, the gathered community of the church. The question Abijah’s speech puts to every hearer is not</w:t>
      </w:r>
      <w:r>
        <w:t xml:space="preserve"> </w:t>
      </w:r>
      <w:r>
        <w:t xml:space="preserve">“Are you religious?”</w:t>
      </w:r>
      <w:r>
        <w:t xml:space="preserve"> </w:t>
      </w:r>
      <w:r>
        <w:t xml:space="preserve">but</w:t>
      </w:r>
      <w:r>
        <w:t xml:space="preserve"> </w:t>
      </w:r>
      <w:r>
        <w:t xml:space="preserve">“Is your religion the LORD’s religion — built on his institutions and his terms, or yours?”</w:t>
      </w:r>
    </w:p>
    <w:p>
      <w:pPr>
        <w:pStyle w:val="BodyText"/>
      </w:pPr>
      <w:r>
        <w:rPr>
          <w:b/>
          <w:bCs/>
        </w:rPr>
        <w:t xml:space="preserve">3. Learn to cry to God before you exhaust your strategic options.</w:t>
      </w:r>
      <w:r>
        <w:t xml:space="preserve"> </w:t>
      </w:r>
      <w:r>
        <w:t xml:space="preserve">Judah’s response to being surrounded was not a tactical adjustment — it was prayer and the sounding of the trumpets. They cried to the LORD. This is not passivity; it is the correct ordering of dependence and action. Most of us cry to God only when we have exhausted our own resources and our own plans have failed. Judah cried to God when they saw the battle was front and rear — before the situation became hopeless, as the first response to crisis, not the last. The application is concrete: when you see that you are surrounded, stop calculating and start praying. Not after the strategies fail. Now.</w:t>
      </w:r>
    </w:p>
    <w:p>
      <w:pPr>
        <w:pStyle w:val="BodyText"/>
      </w:pPr>
      <w:r>
        <w:rPr>
          <w:b/>
          <w:bCs/>
        </w:rPr>
        <w:t xml:space="preserve">4. Feel the full weight of what it means that God goes</w:t>
      </w:r>
      <w:r>
        <w:rPr>
          <w:b/>
          <w:bCs/>
        </w:rPr>
        <w:t xml:space="preserve"> </w:t>
      </w:r>
      <w:r>
        <w:rPr>
          <w:b/>
          <w:bCs/>
        </w:rPr>
        <w:t xml:space="preserve">“at the head”</w:t>
      </w:r>
      <w:r>
        <w:rPr>
          <w:b/>
          <w:bCs/>
        </w:rPr>
        <w:t xml:space="preserve"> </w:t>
      </w:r>
      <w:r>
        <w:rPr>
          <w:b/>
          <w:bCs/>
        </w:rPr>
        <w:t xml:space="preserve">of his people.</w:t>
      </w:r>
      <w:r>
        <w:t xml:space="preserve"> </w:t>
      </w:r>
      <w:r>
        <w:t xml:space="preserve">Abijah says in verse 12 that</w:t>
      </w:r>
      <w:r>
        <w:t xml:space="preserve"> </w:t>
      </w:r>
      <w:r>
        <w:t xml:space="preserve">“God is with us at our head”</w:t>
      </w:r>
      <w:r>
        <w:t xml:space="preserve"> </w:t>
      </w:r>
      <w:r>
        <w:t xml:space="preserve">— not merely present, but positioned at the front of the army, leading the charge. The Chronicler wants his post-exilic readers to feel the force of this. This God — the God who struck Jeroboam’s 800,000 men on behalf of Abijah’s 400,000 — is not a neutral observer of their struggles. He is a combatant on their behalf. Part of what this passage is doing is re-forming the affective posture of God’s people toward their God — moving them from a vague sense of divine distance to a vivid awareness of a God who personally, actively, and victoriously takes the field for those who are his. The application is a call to worship: do you actually believe this about your God? Does your prayer life, your emotional orientation, your daily posture reflect the truth that the LORD is at your head?</w:t>
      </w:r>
    </w:p>
    <w:p>
      <w:pPr>
        <w:pStyle w:val="BodyText"/>
      </w:pPr>
      <w:r>
        <w:rPr>
          <w:b/>
          <w:bCs/>
        </w:rPr>
        <w:t xml:space="preserve">5. Do not mistake the prosperity of covenant unfaithfulness for evidence that God is indifferent.</w:t>
      </w:r>
      <w:r>
        <w:t xml:space="preserve"> </w:t>
      </w:r>
      <w:r>
        <w:t xml:space="preserve">Jeroboam was king for thirty-eight years. He was a powerful, politically successful, militarily capable ruler for most of that time. It would have been easy to conclude from watching him that God was either indifferent to his apostasy or perhaps even blessing it. But the Chronicler shows that Jeroboam never recovered from this day, and that God struck him and he died. The timing of divine judgment is not always immediate — but its certainty is absolute. The application is a warning against drawing conclusions about God’s approval from temporal prosperity. Covenant unfaithfulness does not always collapse immediately. The community that substitutes false worship for true worship may appear to flourish for a season. But the verdict of verse 20 is the Chronicler’s word to every generation: the LORD is not mocked, and Jeroboam did not recover.</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This passage makes a sustained claim about what constitutes genuine access to God’s power and protection: not military strength, political legitimacy, or numerical advantage, but covenant fidelity expressed in the ordained worship God has established. The God of this passage is not merely a</w:t>
      </w:r>
      <w:r>
        <w:t xml:space="preserve"> </w:t>
      </w:r>
      <w:r>
        <w:t xml:space="preserve">“higher power”</w:t>
      </w:r>
      <w:r>
        <w:t xml:space="preserve"> </w:t>
      </w:r>
      <w:r>
        <w:t xml:space="preserve">who assists those who help themselves — He is the covenant Lord who fights for His people when they stand on His covenant ground and call on Him. The passage also teaches that false worship is not a minor ecclesiastical matter but a fundamental act of opposition to the LORD — Jeroboam’s golden calves and counterfeit priesthood are, in Abijah’s framing, acts of war against God’s covenant kingdom. The</w:t>
      </w:r>
      <w:r>
        <w:t xml:space="preserve"> </w:t>
      </w:r>
      <w:r>
        <w:t xml:space="preserve">“covenant of salt”</w:t>
      </w:r>
      <w:r>
        <w:t xml:space="preserve"> </w:t>
      </w:r>
      <w:r>
        <w:t xml:space="preserve">language establishes that the Davidic covenant is unconditional and inviolable — it cannot be nullified by rebellion, succession crisis, or the apparent success of alternatives. God’s fidelity to His covenant does not depend on the covenant community’s strength or the opposition’s weakness; it depends on God’s own character and His own unbreakable word.</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chapter displays the Reformed principle of</w:t>
      </w:r>
      <w:r>
        <w:t xml:space="preserve"> </w:t>
      </w:r>
      <w:r>
        <w:rPr>
          <w:i/>
          <w:iCs/>
        </w:rPr>
        <w:t xml:space="preserve">sola gratia</w:t>
      </w:r>
      <w:r>
        <w:t xml:space="preserve"> </w:t>
      </w:r>
      <w:r>
        <w:t xml:space="preserve">in its covenantal and institutional dimensions: the ground of the covenant community’s confidence is not what they bring to God but what God has established and promised. Abijah’s speech is a model of Reformed confidence — not in the people’s righteousness (their record was mixed, as 1 Kings notes) but in God’s covenant structure: the priesthood He ordained, the worship He prescribed, the dynasty He established by unconditional promise. This passage also carries significant weight for the Reformed understanding of the church’s ministry: the Levitical priesthood in this account is not incidental — it is the liturgical and institutional structure through which God’s people access Him, and its integrity is part of the ground on which God fights for Judah. In the new covenant, this points to the indispensability of Word and sacrament ministry — God’s ordained means of grace — as the institutional ground of the church’s confidence. The passage further reinforces the Reformed conviction that God’s sovereignty extends over the outcomes of conflicts that appear humanly determined: He strikes Jeroboam, He routs the 800,000, He gives Israel into Judah’s hands. This is not impersonal providence — it is the personal, active, covenant-keeping God winning a battle that His people could not have won on their own.</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is not watching this battle from a distance waiting to see how it turns out. He is at the head of the army. The ground under your feet is the covenant He has made and will not break. Your job is to stand on it, cry out, and let Him fight. Stop counting the enemy’s troops.</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Abijah as a full hero of the faith and ignoring the Kings account.</w:t>
      </w:r>
      <w:r>
        <w:t xml:space="preserve"> </w:t>
      </w:r>
      <w:r>
        <w:t xml:space="preserve">The Kings account of Abijah’s reign gives a negative verdict on the whole. A preacher who ignores this creates a moralistic</w:t>
      </w:r>
      <w:r>
        <w:t xml:space="preserve"> </w:t>
      </w:r>
      <w:r>
        <w:t xml:space="preserve">“be like Abijah”</w:t>
      </w:r>
      <w:r>
        <w:t xml:space="preserve"> </w:t>
      </w:r>
      <w:r>
        <w:t xml:space="preserve">sermon that misrepresents the canonical record. The point is not Abijah’s personal righteousness — it is what God does when His covenant community stands on covenant ground, even imperfectly. Acknowledge the complexity; let it guard against moralism.</w:t>
      </w:r>
    </w:p>
    <w:p>
      <w:pPr>
        <w:numPr>
          <w:ilvl w:val="0"/>
          <w:numId w:val="1002"/>
        </w:numPr>
      </w:pPr>
      <w:r>
        <w:rPr>
          <w:b/>
          <w:bCs/>
        </w:rPr>
        <w:t xml:space="preserve">Making the application</w:t>
      </w:r>
      <w:r>
        <w:rPr>
          <w:b/>
          <w:bCs/>
        </w:rPr>
        <w:t xml:space="preserve"> </w:t>
      </w:r>
      <w:r>
        <w:rPr>
          <w:b/>
          <w:bCs/>
        </w:rPr>
        <w:t xml:space="preserve">“fidelity to church structures”</w:t>
      </w:r>
      <w:r>
        <w:rPr>
          <w:b/>
          <w:bCs/>
        </w:rPr>
        <w:t xml:space="preserve"> </w:t>
      </w:r>
      <w:r>
        <w:rPr>
          <w:b/>
          <w:bCs/>
        </w:rPr>
        <w:t xml:space="preserve">rather than</w:t>
      </w:r>
      <w:r>
        <w:rPr>
          <w:b/>
          <w:bCs/>
        </w:rPr>
        <w:t xml:space="preserve"> </w:t>
      </w:r>
      <w:r>
        <w:rPr>
          <w:b/>
          <w:bCs/>
        </w:rPr>
        <w:t xml:space="preserve">“trust in God through His ordained means.”</w:t>
      </w:r>
      <w:r>
        <w:t xml:space="preserve"> </w:t>
      </w:r>
      <w:r>
        <w:t xml:space="preserve">The Levitical priesthood is not the point for its own sake — it is the vehicle of covenant fidelity and genuine reliance on God. A preacher who simply applies this passage to</w:t>
      </w:r>
      <w:r>
        <w:t xml:space="preserve"> </w:t>
      </w:r>
      <w:r>
        <w:t xml:space="preserve">“stay in church”</w:t>
      </w:r>
      <w:r>
        <w:t xml:space="preserve"> </w:t>
      </w:r>
      <w:r>
        <w:t xml:space="preserve">or</w:t>
      </w:r>
      <w:r>
        <w:t xml:space="preserve"> </w:t>
      </w:r>
      <w:r>
        <w:t xml:space="preserve">“support your denomination”</w:t>
      </w:r>
      <w:r>
        <w:t xml:space="preserve"> </w:t>
      </w:r>
      <w:r>
        <w:t xml:space="preserve">has landed the application in the wrong place. The application is dependence on God through His means, not institutional loyalty as an end in itself.</w:t>
      </w:r>
    </w:p>
    <w:p>
      <w:pPr>
        <w:numPr>
          <w:ilvl w:val="0"/>
          <w:numId w:val="1002"/>
        </w:numPr>
      </w:pPr>
      <w:r>
        <w:rPr>
          <w:b/>
          <w:bCs/>
        </w:rPr>
        <w:t xml:space="preserve">Spiritualizing the battle into individual</w:t>
      </w:r>
      <w:r>
        <w:rPr>
          <w:b/>
          <w:bCs/>
        </w:rPr>
        <w:t xml:space="preserve"> </w:t>
      </w:r>
      <w:r>
        <w:rPr>
          <w:b/>
          <w:bCs/>
        </w:rPr>
        <w:t xml:space="preserve">“spiritual warfare”</w:t>
      </w:r>
      <w:r>
        <w:rPr>
          <w:b/>
          <w:bCs/>
        </w:rPr>
        <w:t xml:space="preserve"> </w:t>
      </w:r>
      <w:r>
        <w:rPr>
          <w:b/>
          <w:bCs/>
        </w:rPr>
        <w:t xml:space="preserve">too quickly.</w:t>
      </w:r>
      <w:r>
        <w:t xml:space="preserve"> </w:t>
      </w:r>
      <w:r>
        <w:t xml:space="preserve">The passage has direct applicability to individual spiritual conflict, but it should be read first as a corporate, covenant-community claim. The Chronicler is addressing a post-exilic</w:t>
      </w:r>
      <w:r>
        <w:t xml:space="preserve"> </w:t>
      </w:r>
      <w:r>
        <w:rPr>
          <w:i/>
          <w:iCs/>
        </w:rPr>
        <w:t xml:space="preserve">community</w:t>
      </w:r>
      <w:r>
        <w:t xml:space="preserve"> </w:t>
      </w:r>
      <w:r>
        <w:t xml:space="preserve">about their covenant</w:t>
      </w:r>
      <w:r>
        <w:t xml:space="preserve"> </w:t>
      </w:r>
      <w:r>
        <w:rPr>
          <w:i/>
          <w:iCs/>
        </w:rPr>
        <w:t xml:space="preserve">identity</w:t>
      </w:r>
      <w:r>
        <w:t xml:space="preserve"> </w:t>
      </w:r>
      <w:r>
        <w:t xml:space="preserve">and their corporate confidence in God. Applications must not be reduced to individual spiritual pep-talks; the corporate and ecclesiological dimensions must be retained.</w:t>
      </w:r>
    </w:p>
    <w:p>
      <w:pPr>
        <w:numPr>
          <w:ilvl w:val="0"/>
          <w:numId w:val="1002"/>
        </w:numPr>
      </w:pPr>
      <w:r>
        <w:rPr>
          <w:b/>
          <w:bCs/>
        </w:rPr>
        <w:t xml:space="preserve">Overlooking the explicit editorial key in verse 18:</w:t>
      </w:r>
      <w:r>
        <w:rPr>
          <w:b/>
          <w:bCs/>
        </w:rPr>
        <w:t xml:space="preserve"> </w:t>
      </w:r>
      <w:r>
        <w:rPr>
          <w:b/>
          <w:bCs/>
        </w:rPr>
        <w:t xml:space="preserve">“because they relied on the LORD.”</w:t>
      </w:r>
      <w:r>
        <w:t xml:space="preserve"> </w:t>
      </w:r>
      <w:r>
        <w:t xml:space="preserve">This is the Chronicler’s stated reason for the outcome. A sermon that ignores this verse or buries it in a survey of the narrative has missed the interpretive flag the author planted. The exposition must build toward and dwell on this phrase — it is the hermeneutical spine of the account.</w:t>
      </w:r>
    </w:p>
    <w:p>
      <w:pPr>
        <w:numPr>
          <w:ilvl w:val="0"/>
          <w:numId w:val="1002"/>
        </w:numPr>
      </w:pPr>
      <w:r>
        <w:rPr>
          <w:b/>
          <w:bCs/>
        </w:rPr>
        <w:t xml:space="preserve">Using the 500,000 casualties figure as a proof of Judahite superiority rather than divine action.</w:t>
      </w:r>
      <w:r>
        <w:t xml:space="preserve"> </w:t>
      </w:r>
      <w:r>
        <w:t xml:space="preserve">The numbers are staggering and should produce awe, not national pride. The point of the casualty figure is the utter decisiveness of God’s action — this was not a close-run military victory that Judah’s tactics can explain. Guard against any reading that makes Judah’s warriors the heroes; the text identifies God as the one who struck Israel and gave them into Judah’s hands.</w:t>
      </w:r>
    </w:p>
    <w:p>
      <w:pPr>
        <w:numPr>
          <w:ilvl w:val="0"/>
          <w:numId w:val="1002"/>
        </w:numPr>
      </w:pPr>
      <w:r>
        <w:rPr>
          <w:b/>
          <w:bCs/>
        </w:rPr>
        <w:t xml:space="preserve">Missing the connection between Bethel’s capture (v. 19) and Jeroboam’s golden calves.</w:t>
      </w:r>
      <w:r>
        <w:t xml:space="preserve"> </w:t>
      </w:r>
      <w:r>
        <w:t xml:space="preserve">The site of the most prominent counterfeit worship installation in the Northern Kingdom falls to Abijah. This is a theological detail the Chronicler clearly intends — the judgment on false worship is not merely personal (Jeroboam) but institutional (the cultic sites themselves). A preacher alert to this connection can use it to reinforce the passage’s claim that God will not share His worship with substitutes.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2026-07-14T21:03:28Z</dcterms:created>
  <dcterms:modified xsi:type="dcterms:W3CDTF">2026-07-14T21:03:28Z</dcterms:modified>
</cp:coreProperties>
</file>

<file path=docProps/custom.xml><?xml version="1.0" encoding="utf-8"?>
<Properties xmlns="http://schemas.openxmlformats.org/officeDocument/2006/custom-properties" xmlns:vt="http://schemas.openxmlformats.org/officeDocument/2006/docPropsVTypes"/>
</file>